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966" w:rsidRDefault="00005966" w:rsidP="00C912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 Violation </w:t>
      </w:r>
    </w:p>
    <w:p w:rsidR="00E7471F" w:rsidRDefault="00E7471F" w:rsidP="00C912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7471F" w:rsidRDefault="00E7471F" w:rsidP="00C912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7471F" w:rsidRDefault="00E7471F" w:rsidP="00C912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E7471F" w:rsidRDefault="00E7471F" w:rsidP="00C912B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E7471F" w:rsidRDefault="00E7471F" w:rsidP="00C912B3">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lastRenderedPageBreak/>
        <w:t xml:space="preserve">This Hazelwood case was documented at the U.S.A. Area Court for the Eastern district of Missouri. These understudies looked for the explanation that their First Amendment and Fourteenth Amendment rights had been abused by irrational exercises of the basic authority, just as injunctive guide and money related harms. After the seat test, the locale court declined the boycott and fiscal harms. At May 1985, it declared that no encroachment of First Amendment rights got occurred, and took that instruction authority may restrain understudy talking at activities that "speak to the inborn piece of the school's instructive capacity" as long as the confinement has "a significant and sensible premise." </w:t>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 xml:space="preserve">Was the milestone the United States Supreme Court case at which the experts declared government laws building up individual national schools for highly contrasting understudies to stay illegal (Rowse, 2008). As an outcome, racial division has declared the infringement of the Fourteenth Amendment of the United States Constitution. The feeling prepared for combination and was the extraordinary accomplishment of the social development. Afterward, the nation made great steps toward opening the entryways of preparing to all understudies. With court orders and proactive authorization of national social liberties laws, advance toward bound together schools stayed through the late 1980s. </w:t>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 xml:space="preserve">The Supreme Court announced that this approach abused the Fourteenth Amendment of the U.S. Law by limiting different unalienable rights. For this situation, the Supreme Court negated the power that restricted universal word training without the permit at schools in Hawaii. The Supreme Court proclaimed that disallowing schools to learn in the word not quite the same as English abuses inborn rights secured under this Fifth Amendment. </w:t>
      </w:r>
    </w:p>
    <w:p w:rsidR="00C912B3" w:rsidRPr="00C912B3" w:rsidRDefault="00C912B3" w:rsidP="00C912B3">
      <w:pPr>
        <w:spacing w:line="480" w:lineRule="auto"/>
        <w:contextualSpacing/>
        <w:rPr>
          <w:rFonts w:ascii="Times New Roman" w:eastAsia="Times New Roman" w:hAnsi="Times New Roman" w:cs="Times New Roman"/>
          <w:color w:val="000000"/>
          <w:sz w:val="24"/>
          <w:szCs w:val="24"/>
        </w:rPr>
      </w:pP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lastRenderedPageBreak/>
        <w:t xml:space="preserve">Morse v. Frederick, model at which this U.S.A. Preeminent expert on June 25, 2007, proclaimed (5–4) those American training authorities took not outraged the understudy's First Amendment the right to speak freely rights in the wake of suspending him for showing, at a school occasion, a pennant that was viewed as advancing illicit medication use. This reality started in 2002 when the light transfer in advancement of the Winter Olympics at Salt Lake City, Utah, fell through Juneau, Alaska. Deborah Morse, the essential at Juneau-Douglas senior secondary school, let understudies and staff, who administered this procedure, to get the class to see this hand-off as an affirmed get-together. </w:t>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This reality included the senior secondary school understudy who, since she was an adolescent right now, was alluded to a court and court records by her initials - T.L.O. She was accused of smoking at the room. Whenever T.L.O. Denied this case, the school official looked through her pack</w:t>
      </w:r>
      <w:r>
        <w:rPr>
          <w:rFonts w:ascii="Times New Roman" w:eastAsia="Times New Roman" w:hAnsi="Times New Roman" w:cs="Times New Roman"/>
          <w:color w:val="000000"/>
          <w:sz w:val="24"/>
          <w:szCs w:val="24"/>
        </w:rPr>
        <w:t xml:space="preserve"> and found cigarettes and marijuana </w:t>
      </w:r>
      <w:r w:rsidRPr="00C912B3">
        <w:rPr>
          <w:rFonts w:ascii="Times New Roman" w:eastAsia="Times New Roman" w:hAnsi="Times New Roman" w:cs="Times New Roman"/>
          <w:color w:val="000000"/>
          <w:sz w:val="24"/>
          <w:szCs w:val="24"/>
        </w:rPr>
        <w:t xml:space="preserve">stuff. Whenever T.L.O. Hurried to home experts in her town to take her Fourth Amendment assurances against nonsensical inquiry and seizure, that equity ruled against her and declared T.L.O. The reprobate when she engaged the New Jersey government Supreme Court, these judges declared that this instruction had broken T.L.O's. Fourth Amendment rights. </w:t>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 xml:space="preserve">The understudy is seen smoking weed in the room of the structure. He is conveyed to the key's office, where he is gotten some information about weed. He denies this protest. The central checks the understudy's individual and finds the Roach in the pocket of the understudy. Youngsters </w:t>
      </w:r>
      <w:r>
        <w:rPr>
          <w:rFonts w:ascii="Times New Roman" w:eastAsia="Times New Roman" w:hAnsi="Times New Roman" w:cs="Times New Roman"/>
          <w:color w:val="000000"/>
          <w:sz w:val="24"/>
          <w:szCs w:val="24"/>
        </w:rPr>
        <w:t>are not allowed to expend marijuana</w:t>
      </w:r>
      <w:r w:rsidRPr="00C912B3">
        <w:rPr>
          <w:rFonts w:ascii="Times New Roman" w:eastAsia="Times New Roman" w:hAnsi="Times New Roman" w:cs="Times New Roman"/>
          <w:color w:val="000000"/>
          <w:sz w:val="24"/>
          <w:szCs w:val="24"/>
        </w:rPr>
        <w:t xml:space="preserve">, and this medication is prohibited on grounds. The understudy asserts his Fourth Amendment rights were disregarded in light of the fact that the particular endorsement was not gotten and that understudy did not react. In the wake of having the news that the understudy may have been smoking weed on the school transport, school </w:t>
      </w:r>
      <w:r w:rsidRPr="00C912B3">
        <w:rPr>
          <w:rFonts w:ascii="Times New Roman" w:eastAsia="Times New Roman" w:hAnsi="Times New Roman" w:cs="Times New Roman"/>
          <w:color w:val="000000"/>
          <w:sz w:val="24"/>
          <w:szCs w:val="24"/>
        </w:rPr>
        <w:lastRenderedPageBreak/>
        <w:t xml:space="preserve">authorities outraged the man" s protection rights by traversing his phone. As the specialist trusted it, the phone was not associated with the chase for cannabis since it proved unable'' be drugs. </w:t>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 xml:space="preserve">Due to her age, T.L.O, she has encountered wrongdoing protests at Juvenile Court. The Juvenile Court denied T.L.O's development to counteract (make out) her admission and the data from this inquiry. Her lawyer fought that this pursuit of her sack was the infringement of the Fourth Amendment. T.L.O. Cost found past due and was set on post trial supervision for one year. After the long intrigue strategy in the New Jersey state court framework, the U.S. Incomparable court of the United States held to see this contention. </w:t>
      </w:r>
    </w:p>
    <w:p w:rsidR="00C912B3" w:rsidRPr="00C912B3"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 xml:space="preserve">From that point forward, the administration of New Jersey took misconduct grievances against T.L.O at Juvenile Court. This Juvenile Court rejected T.L.O. It's a motion to counteract the data found in her sack. This Juvenile Court had that despite the fact that the Fourth explanation used to looks by instruction authorities, that this bad habit main's inquiry of her pack was reasonable. This New Jersey Supreme Court toppled the Juvenile court's disclosure that the hunt of this sack was outlandish. This United States Supreme Court found that this chase of T.L.O. its satchel was reasonable on the grounds that the bad habit key got genuine information from the educator that T.L.O (Aull, 2012). </w:t>
      </w:r>
    </w:p>
    <w:p w:rsidR="00A3205B" w:rsidRDefault="00C912B3" w:rsidP="00C912B3">
      <w:pPr>
        <w:spacing w:line="480" w:lineRule="auto"/>
        <w:ind w:firstLine="720"/>
        <w:contextualSpacing/>
        <w:rPr>
          <w:rFonts w:ascii="Times New Roman" w:eastAsia="Times New Roman" w:hAnsi="Times New Roman" w:cs="Times New Roman"/>
          <w:color w:val="000000"/>
          <w:sz w:val="24"/>
          <w:szCs w:val="24"/>
        </w:rPr>
      </w:pPr>
      <w:r w:rsidRPr="00C912B3">
        <w:rPr>
          <w:rFonts w:ascii="Times New Roman" w:eastAsia="Times New Roman" w:hAnsi="Times New Roman" w:cs="Times New Roman"/>
          <w:color w:val="000000"/>
          <w:sz w:val="24"/>
          <w:szCs w:val="24"/>
        </w:rPr>
        <w:t>This working office on this Fourth Amendment program to schools is that 1985 Supreme Court case New Jersey v. T.L.O. The model included the educator who saw senior secondary school understudies smoking in the room infringing upon school guidelines. Training authorities looked one understudy's pack for cigarettes. In the wake of getting cigarettes, the instruction official kept on investigating the pack and later found medication stuff. The understudy endeavored to anticipate the data found in this satchel as an infringement of the Fourth Amendment.</w:t>
      </w:r>
      <w:r w:rsidR="00A3205B">
        <w:rPr>
          <w:rFonts w:ascii="Times New Roman" w:eastAsia="Times New Roman" w:hAnsi="Times New Roman" w:cs="Times New Roman"/>
          <w:color w:val="000000"/>
          <w:sz w:val="24"/>
          <w:szCs w:val="24"/>
        </w:rPr>
        <w:br w:type="page"/>
      </w:r>
    </w:p>
    <w:p w:rsidR="0043669D" w:rsidRDefault="0043669D" w:rsidP="00C912B3">
      <w:pPr>
        <w:shd w:val="clear" w:color="auto" w:fill="FFFFFF"/>
        <w:spacing w:after="0" w:line="480" w:lineRule="auto"/>
        <w:ind w:firstLine="720"/>
        <w:contextualSpacing/>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p w:rsidR="00160969" w:rsidRDefault="00160969" w:rsidP="00C912B3">
      <w:pPr>
        <w:shd w:val="clear" w:color="auto" w:fill="FFFFFF"/>
        <w:spacing w:after="0" w:line="480" w:lineRule="auto"/>
        <w:ind w:left="720" w:hanging="720"/>
        <w:contextualSpacing/>
        <w:textAlignment w:val="baseline"/>
        <w:rPr>
          <w:rFonts w:ascii="Times New Roman" w:eastAsia="Times New Roman" w:hAnsi="Times New Roman" w:cs="Times New Roman"/>
          <w:color w:val="000000"/>
          <w:sz w:val="24"/>
          <w:szCs w:val="24"/>
        </w:rPr>
      </w:pPr>
      <w:r w:rsidRPr="0043669D">
        <w:rPr>
          <w:rFonts w:ascii="Times New Roman" w:eastAsia="Times New Roman" w:hAnsi="Times New Roman" w:cs="Times New Roman"/>
          <w:color w:val="000000"/>
          <w:sz w:val="24"/>
          <w:szCs w:val="24"/>
        </w:rPr>
        <w:t xml:space="preserve">  </w:t>
      </w:r>
      <w:r w:rsidR="00A3205B" w:rsidRPr="00A3205B">
        <w:rPr>
          <w:rFonts w:ascii="Times New Roman" w:eastAsia="Times New Roman" w:hAnsi="Times New Roman" w:cs="Times New Roman"/>
          <w:color w:val="000000"/>
          <w:sz w:val="24"/>
          <w:szCs w:val="24"/>
        </w:rPr>
        <w:t>Aull IV, E. H. (2012). Zero tolerance, frivolous juvenile court referrals, and the school-to-prison pipeline: Using arbitration as a screening-out method to help plug the pipeline. </w:t>
      </w:r>
      <w:r w:rsidR="00A3205B" w:rsidRPr="00A3205B">
        <w:rPr>
          <w:rFonts w:ascii="Times New Roman" w:eastAsia="Times New Roman" w:hAnsi="Times New Roman" w:cs="Times New Roman"/>
          <w:i/>
          <w:iCs/>
          <w:color w:val="000000"/>
          <w:sz w:val="24"/>
          <w:szCs w:val="24"/>
        </w:rPr>
        <w:t>Ohio St. J. on Disp. Resol.</w:t>
      </w:r>
      <w:r w:rsidR="00A3205B" w:rsidRPr="00A3205B">
        <w:rPr>
          <w:rFonts w:ascii="Times New Roman" w:eastAsia="Times New Roman" w:hAnsi="Times New Roman" w:cs="Times New Roman"/>
          <w:color w:val="000000"/>
          <w:sz w:val="24"/>
          <w:szCs w:val="24"/>
        </w:rPr>
        <w:t>, </w:t>
      </w:r>
      <w:r w:rsidR="00A3205B" w:rsidRPr="00A3205B">
        <w:rPr>
          <w:rFonts w:ascii="Times New Roman" w:eastAsia="Times New Roman" w:hAnsi="Times New Roman" w:cs="Times New Roman"/>
          <w:i/>
          <w:iCs/>
          <w:color w:val="000000"/>
          <w:sz w:val="24"/>
          <w:szCs w:val="24"/>
        </w:rPr>
        <w:t>27</w:t>
      </w:r>
      <w:r w:rsidR="00A3205B" w:rsidRPr="00A3205B">
        <w:rPr>
          <w:rFonts w:ascii="Times New Roman" w:eastAsia="Times New Roman" w:hAnsi="Times New Roman" w:cs="Times New Roman"/>
          <w:color w:val="000000"/>
          <w:sz w:val="24"/>
          <w:szCs w:val="24"/>
        </w:rPr>
        <w:t>, 179.</w:t>
      </w:r>
    </w:p>
    <w:p w:rsidR="00005966" w:rsidRDefault="00497D6E" w:rsidP="00C912B3">
      <w:pPr>
        <w:shd w:val="clear" w:color="auto" w:fill="FFFFFF"/>
        <w:spacing w:after="0" w:line="480" w:lineRule="auto"/>
        <w:ind w:left="720" w:hanging="720"/>
        <w:contextualSpacing/>
        <w:jc w:val="both"/>
        <w:textAlignment w:val="baseline"/>
        <w:rPr>
          <w:rFonts w:ascii="Times New Roman" w:eastAsia="Times New Roman" w:hAnsi="Times New Roman" w:cs="Times New Roman"/>
          <w:i/>
          <w:color w:val="000000"/>
          <w:sz w:val="24"/>
          <w:szCs w:val="24"/>
        </w:rPr>
      </w:pPr>
      <w:r w:rsidRPr="00497D6E">
        <w:rPr>
          <w:rFonts w:ascii="Times New Roman" w:eastAsia="Times New Roman" w:hAnsi="Times New Roman" w:cs="Times New Roman"/>
          <w:color w:val="000000"/>
          <w:sz w:val="24"/>
          <w:szCs w:val="24"/>
        </w:rPr>
        <w:t>Rowse, J. L. (2008).</w:t>
      </w:r>
      <w:r w:rsidRPr="00497D6E">
        <w:rPr>
          <w:rFonts w:ascii="Times New Roman" w:eastAsia="Times New Roman" w:hAnsi="Times New Roman" w:cs="Times New Roman"/>
          <w:i/>
          <w:color w:val="000000"/>
          <w:sz w:val="24"/>
          <w:szCs w:val="24"/>
        </w:rPr>
        <w:t> </w:t>
      </w:r>
      <w:r w:rsidRPr="00497D6E">
        <w:rPr>
          <w:rFonts w:ascii="Times New Roman" w:eastAsia="Times New Roman" w:hAnsi="Times New Roman" w:cs="Times New Roman"/>
          <w:i/>
          <w:iCs/>
          <w:color w:val="000000"/>
          <w:sz w:val="24"/>
          <w:szCs w:val="24"/>
        </w:rPr>
        <w:t>Trouble Right Here in Digital City: Censorship of Online Student Speech</w:t>
      </w:r>
      <w:r w:rsidRPr="00497D6E">
        <w:rPr>
          <w:rFonts w:ascii="Times New Roman" w:eastAsia="Times New Roman" w:hAnsi="Times New Roman" w:cs="Times New Roman"/>
          <w:i/>
          <w:color w:val="000000"/>
          <w:sz w:val="24"/>
          <w:szCs w:val="24"/>
        </w:rPr>
        <w:t> (Doctoral dissertation, Bowling Green State University).</w:t>
      </w:r>
    </w:p>
    <w:sectPr w:rsidR="00005966"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4B7" w:rsidRDefault="008464B7">
      <w:pPr>
        <w:spacing w:after="0" w:line="240" w:lineRule="auto"/>
      </w:pPr>
      <w:r>
        <w:separator/>
      </w:r>
    </w:p>
  </w:endnote>
  <w:endnote w:type="continuationSeparator" w:id="1">
    <w:p w:rsidR="008464B7" w:rsidRDefault="008464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4B7" w:rsidRDefault="008464B7">
      <w:pPr>
        <w:spacing w:after="0" w:line="240" w:lineRule="auto"/>
      </w:pPr>
      <w:r>
        <w:separator/>
      </w:r>
    </w:p>
  </w:footnote>
  <w:footnote w:type="continuationSeparator" w:id="1">
    <w:p w:rsidR="008464B7" w:rsidRDefault="008464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005966" w:rsidP="00D552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 VIOLATION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7471F" w:rsidRPr="00621221">
      <w:rPr>
        <w:rFonts w:ascii="Times New Roman" w:hAnsi="Times New Roman" w:cs="Times New Roman"/>
        <w:sz w:val="24"/>
        <w:szCs w:val="24"/>
      </w:rPr>
      <w:t xml:space="preserve"> </w:t>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943029"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943029" w:rsidRPr="00FC5A8D">
          <w:rPr>
            <w:rFonts w:ascii="Times New Roman" w:hAnsi="Times New Roman" w:cs="Times New Roman"/>
            <w:sz w:val="24"/>
            <w:szCs w:val="24"/>
          </w:rPr>
          <w:fldChar w:fldCharType="separate"/>
        </w:r>
        <w:r w:rsidR="00C912B3">
          <w:rPr>
            <w:rFonts w:ascii="Times New Roman" w:hAnsi="Times New Roman" w:cs="Times New Roman"/>
            <w:noProof/>
            <w:sz w:val="24"/>
            <w:szCs w:val="24"/>
          </w:rPr>
          <w:t>2</w:t>
        </w:r>
        <w:r w:rsidR="00943029"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7471F" w:rsidP="00E7471F">
    <w:pPr>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00005966">
      <w:rPr>
        <w:rFonts w:ascii="Times New Roman" w:hAnsi="Times New Roman" w:cs="Times New Roman"/>
        <w:sz w:val="24"/>
        <w:szCs w:val="24"/>
      </w:rPr>
      <w:t>STUDENT VIOLATION</w:t>
    </w:r>
    <w:r w:rsidR="00005966">
      <w:rPr>
        <w:rFonts w:ascii="Times New Roman" w:hAnsi="Times New Roman" w:cs="Times New Roman"/>
        <w:sz w:val="24"/>
        <w:szCs w:val="24"/>
      </w:rPr>
      <w:tab/>
    </w:r>
    <w:r w:rsidR="00005966">
      <w:rPr>
        <w:rFonts w:ascii="Times New Roman" w:hAnsi="Times New Roman" w:cs="Times New Roman"/>
        <w:sz w:val="24"/>
        <w:szCs w:val="24"/>
      </w:rPr>
      <w:tab/>
    </w:r>
    <w:r w:rsidR="00005966">
      <w:rPr>
        <w:rFonts w:ascii="Times New Roman" w:hAnsi="Times New Roman" w:cs="Times New Roman"/>
        <w:sz w:val="24"/>
        <w:szCs w:val="24"/>
      </w:rPr>
      <w:tab/>
    </w:r>
    <w:r>
      <w:rPr>
        <w:rFonts w:ascii="Times New Roman" w:hAnsi="Times New Roman" w:cs="Times New Roman"/>
        <w:sz w:val="24"/>
        <w:szCs w:val="24"/>
      </w:rPr>
      <w:tab/>
    </w:r>
    <w:r w:rsidR="0043669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943029"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943029" w:rsidRPr="00FC5A8D">
          <w:rPr>
            <w:rFonts w:ascii="Times New Roman" w:hAnsi="Times New Roman" w:cs="Times New Roman"/>
            <w:sz w:val="24"/>
            <w:szCs w:val="24"/>
          </w:rPr>
          <w:fldChar w:fldCharType="separate"/>
        </w:r>
        <w:r w:rsidR="00C912B3">
          <w:rPr>
            <w:rFonts w:ascii="Times New Roman" w:hAnsi="Times New Roman" w:cs="Times New Roman"/>
            <w:noProof/>
            <w:sz w:val="24"/>
            <w:szCs w:val="24"/>
          </w:rPr>
          <w:t>1</w:t>
        </w:r>
        <w:r w:rsidR="00943029"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0FEF11C">
      <w:start w:val="1"/>
      <w:numFmt w:val="decimal"/>
      <w:lvlText w:val="%1."/>
      <w:lvlJc w:val="left"/>
      <w:pPr>
        <w:ind w:left="720" w:hanging="360"/>
      </w:pPr>
      <w:rPr>
        <w:rFonts w:hint="default"/>
      </w:rPr>
    </w:lvl>
    <w:lvl w:ilvl="1" w:tplc="617E9994" w:tentative="1">
      <w:start w:val="1"/>
      <w:numFmt w:val="lowerLetter"/>
      <w:lvlText w:val="%2."/>
      <w:lvlJc w:val="left"/>
      <w:pPr>
        <w:ind w:left="1440" w:hanging="360"/>
      </w:pPr>
    </w:lvl>
    <w:lvl w:ilvl="2" w:tplc="4224E69E" w:tentative="1">
      <w:start w:val="1"/>
      <w:numFmt w:val="lowerRoman"/>
      <w:lvlText w:val="%3."/>
      <w:lvlJc w:val="right"/>
      <w:pPr>
        <w:ind w:left="2160" w:hanging="180"/>
      </w:pPr>
    </w:lvl>
    <w:lvl w:ilvl="3" w:tplc="FB4294EC" w:tentative="1">
      <w:start w:val="1"/>
      <w:numFmt w:val="decimal"/>
      <w:lvlText w:val="%4."/>
      <w:lvlJc w:val="left"/>
      <w:pPr>
        <w:ind w:left="2880" w:hanging="360"/>
      </w:pPr>
    </w:lvl>
    <w:lvl w:ilvl="4" w:tplc="BC0A6CDC" w:tentative="1">
      <w:start w:val="1"/>
      <w:numFmt w:val="lowerLetter"/>
      <w:lvlText w:val="%5."/>
      <w:lvlJc w:val="left"/>
      <w:pPr>
        <w:ind w:left="3600" w:hanging="360"/>
      </w:pPr>
    </w:lvl>
    <w:lvl w:ilvl="5" w:tplc="BD6A0F68" w:tentative="1">
      <w:start w:val="1"/>
      <w:numFmt w:val="lowerRoman"/>
      <w:lvlText w:val="%6."/>
      <w:lvlJc w:val="right"/>
      <w:pPr>
        <w:ind w:left="4320" w:hanging="180"/>
      </w:pPr>
    </w:lvl>
    <w:lvl w:ilvl="6" w:tplc="7F3A3698" w:tentative="1">
      <w:start w:val="1"/>
      <w:numFmt w:val="decimal"/>
      <w:lvlText w:val="%7."/>
      <w:lvlJc w:val="left"/>
      <w:pPr>
        <w:ind w:left="5040" w:hanging="360"/>
      </w:pPr>
    </w:lvl>
    <w:lvl w:ilvl="7" w:tplc="B3905288" w:tentative="1">
      <w:start w:val="1"/>
      <w:numFmt w:val="lowerLetter"/>
      <w:lvlText w:val="%8."/>
      <w:lvlJc w:val="left"/>
      <w:pPr>
        <w:ind w:left="5760" w:hanging="360"/>
      </w:pPr>
    </w:lvl>
    <w:lvl w:ilvl="8" w:tplc="96CEF3E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20F02072">
      <w:start w:val="1"/>
      <w:numFmt w:val="decimal"/>
      <w:lvlText w:val="%1."/>
      <w:lvlJc w:val="left"/>
      <w:pPr>
        <w:ind w:left="720" w:hanging="360"/>
      </w:pPr>
      <w:rPr>
        <w:rFonts w:hint="default"/>
      </w:rPr>
    </w:lvl>
    <w:lvl w:ilvl="1" w:tplc="3C6A0EB6" w:tentative="1">
      <w:start w:val="1"/>
      <w:numFmt w:val="lowerLetter"/>
      <w:lvlText w:val="%2."/>
      <w:lvlJc w:val="left"/>
      <w:pPr>
        <w:ind w:left="1440" w:hanging="360"/>
      </w:pPr>
    </w:lvl>
    <w:lvl w:ilvl="2" w:tplc="D4208B52" w:tentative="1">
      <w:start w:val="1"/>
      <w:numFmt w:val="lowerRoman"/>
      <w:lvlText w:val="%3."/>
      <w:lvlJc w:val="right"/>
      <w:pPr>
        <w:ind w:left="2160" w:hanging="180"/>
      </w:pPr>
    </w:lvl>
    <w:lvl w:ilvl="3" w:tplc="375C2674" w:tentative="1">
      <w:start w:val="1"/>
      <w:numFmt w:val="decimal"/>
      <w:lvlText w:val="%4."/>
      <w:lvlJc w:val="left"/>
      <w:pPr>
        <w:ind w:left="2880" w:hanging="360"/>
      </w:pPr>
    </w:lvl>
    <w:lvl w:ilvl="4" w:tplc="8D0452E2" w:tentative="1">
      <w:start w:val="1"/>
      <w:numFmt w:val="lowerLetter"/>
      <w:lvlText w:val="%5."/>
      <w:lvlJc w:val="left"/>
      <w:pPr>
        <w:ind w:left="3600" w:hanging="360"/>
      </w:pPr>
    </w:lvl>
    <w:lvl w:ilvl="5" w:tplc="2728B430" w:tentative="1">
      <w:start w:val="1"/>
      <w:numFmt w:val="lowerRoman"/>
      <w:lvlText w:val="%6."/>
      <w:lvlJc w:val="right"/>
      <w:pPr>
        <w:ind w:left="4320" w:hanging="180"/>
      </w:pPr>
    </w:lvl>
    <w:lvl w:ilvl="6" w:tplc="2AC67286" w:tentative="1">
      <w:start w:val="1"/>
      <w:numFmt w:val="decimal"/>
      <w:lvlText w:val="%7."/>
      <w:lvlJc w:val="left"/>
      <w:pPr>
        <w:ind w:left="5040" w:hanging="360"/>
      </w:pPr>
    </w:lvl>
    <w:lvl w:ilvl="7" w:tplc="E1FACB70" w:tentative="1">
      <w:start w:val="1"/>
      <w:numFmt w:val="lowerLetter"/>
      <w:lvlText w:val="%8."/>
      <w:lvlJc w:val="left"/>
      <w:pPr>
        <w:ind w:left="5760" w:hanging="360"/>
      </w:pPr>
    </w:lvl>
    <w:lvl w:ilvl="8" w:tplc="03B22CF0" w:tentative="1">
      <w:start w:val="1"/>
      <w:numFmt w:val="lowerRoman"/>
      <w:lvlText w:val="%9."/>
      <w:lvlJc w:val="right"/>
      <w:pPr>
        <w:ind w:left="6480" w:hanging="180"/>
      </w:pPr>
    </w:lvl>
  </w:abstractNum>
  <w:abstractNum w:abstractNumId="3">
    <w:nsid w:val="69F404EE"/>
    <w:multiLevelType w:val="hybridMultilevel"/>
    <w:tmpl w:val="48D6A4B4"/>
    <w:lvl w:ilvl="0" w:tplc="A592624E">
      <w:start w:val="1"/>
      <w:numFmt w:val="decimal"/>
      <w:lvlText w:val="%1."/>
      <w:lvlJc w:val="left"/>
      <w:pPr>
        <w:ind w:left="1080" w:hanging="360"/>
      </w:pPr>
      <w:rPr>
        <w:rFonts w:hint="default"/>
      </w:rPr>
    </w:lvl>
    <w:lvl w:ilvl="1" w:tplc="BE80CADA" w:tentative="1">
      <w:start w:val="1"/>
      <w:numFmt w:val="lowerLetter"/>
      <w:lvlText w:val="%2."/>
      <w:lvlJc w:val="left"/>
      <w:pPr>
        <w:ind w:left="1800" w:hanging="360"/>
      </w:pPr>
    </w:lvl>
    <w:lvl w:ilvl="2" w:tplc="B7943D96" w:tentative="1">
      <w:start w:val="1"/>
      <w:numFmt w:val="lowerRoman"/>
      <w:lvlText w:val="%3."/>
      <w:lvlJc w:val="right"/>
      <w:pPr>
        <w:ind w:left="2520" w:hanging="180"/>
      </w:pPr>
    </w:lvl>
    <w:lvl w:ilvl="3" w:tplc="1E168350" w:tentative="1">
      <w:start w:val="1"/>
      <w:numFmt w:val="decimal"/>
      <w:lvlText w:val="%4."/>
      <w:lvlJc w:val="left"/>
      <w:pPr>
        <w:ind w:left="3240" w:hanging="360"/>
      </w:pPr>
    </w:lvl>
    <w:lvl w:ilvl="4" w:tplc="1C9A9404" w:tentative="1">
      <w:start w:val="1"/>
      <w:numFmt w:val="lowerLetter"/>
      <w:lvlText w:val="%5."/>
      <w:lvlJc w:val="left"/>
      <w:pPr>
        <w:ind w:left="3960" w:hanging="360"/>
      </w:pPr>
    </w:lvl>
    <w:lvl w:ilvl="5" w:tplc="D59C4154" w:tentative="1">
      <w:start w:val="1"/>
      <w:numFmt w:val="lowerRoman"/>
      <w:lvlText w:val="%6."/>
      <w:lvlJc w:val="right"/>
      <w:pPr>
        <w:ind w:left="4680" w:hanging="180"/>
      </w:pPr>
    </w:lvl>
    <w:lvl w:ilvl="6" w:tplc="B99C1DB0" w:tentative="1">
      <w:start w:val="1"/>
      <w:numFmt w:val="decimal"/>
      <w:lvlText w:val="%7."/>
      <w:lvlJc w:val="left"/>
      <w:pPr>
        <w:ind w:left="5400" w:hanging="360"/>
      </w:pPr>
    </w:lvl>
    <w:lvl w:ilvl="7" w:tplc="365E1C48" w:tentative="1">
      <w:start w:val="1"/>
      <w:numFmt w:val="lowerLetter"/>
      <w:lvlText w:val="%8."/>
      <w:lvlJc w:val="left"/>
      <w:pPr>
        <w:ind w:left="6120" w:hanging="360"/>
      </w:pPr>
    </w:lvl>
    <w:lvl w:ilvl="8" w:tplc="4C1E9D7E"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05966"/>
    <w:rsid w:val="00043935"/>
    <w:rsid w:val="000445EF"/>
    <w:rsid w:val="00044625"/>
    <w:rsid w:val="00063531"/>
    <w:rsid w:val="000813B1"/>
    <w:rsid w:val="00084A2A"/>
    <w:rsid w:val="000B4DDA"/>
    <w:rsid w:val="000E62D6"/>
    <w:rsid w:val="000F6DE4"/>
    <w:rsid w:val="0010656B"/>
    <w:rsid w:val="00123B5F"/>
    <w:rsid w:val="001547E1"/>
    <w:rsid w:val="00160969"/>
    <w:rsid w:val="00166D77"/>
    <w:rsid w:val="001762DB"/>
    <w:rsid w:val="00196F38"/>
    <w:rsid w:val="001A0C0F"/>
    <w:rsid w:val="001C5B88"/>
    <w:rsid w:val="001E508E"/>
    <w:rsid w:val="001F6BF2"/>
    <w:rsid w:val="002003D9"/>
    <w:rsid w:val="0020336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6EB6"/>
    <w:rsid w:val="004516A4"/>
    <w:rsid w:val="004873A6"/>
    <w:rsid w:val="00497D6E"/>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49D1"/>
    <w:rsid w:val="00621221"/>
    <w:rsid w:val="0064209B"/>
    <w:rsid w:val="00644BA6"/>
    <w:rsid w:val="006545F4"/>
    <w:rsid w:val="00676560"/>
    <w:rsid w:val="006A7B36"/>
    <w:rsid w:val="006B6CA1"/>
    <w:rsid w:val="006B7C96"/>
    <w:rsid w:val="006D357D"/>
    <w:rsid w:val="006E21EF"/>
    <w:rsid w:val="006E3921"/>
    <w:rsid w:val="007151C1"/>
    <w:rsid w:val="00715FA9"/>
    <w:rsid w:val="007309C3"/>
    <w:rsid w:val="007962D1"/>
    <w:rsid w:val="007C3A46"/>
    <w:rsid w:val="007C5143"/>
    <w:rsid w:val="007C6157"/>
    <w:rsid w:val="007D5A75"/>
    <w:rsid w:val="007E6731"/>
    <w:rsid w:val="008015E0"/>
    <w:rsid w:val="008132C1"/>
    <w:rsid w:val="008154AE"/>
    <w:rsid w:val="0084308D"/>
    <w:rsid w:val="008464B7"/>
    <w:rsid w:val="00860CF8"/>
    <w:rsid w:val="00863967"/>
    <w:rsid w:val="008D04DA"/>
    <w:rsid w:val="008F046B"/>
    <w:rsid w:val="00900D57"/>
    <w:rsid w:val="00926E11"/>
    <w:rsid w:val="00933CCA"/>
    <w:rsid w:val="00943029"/>
    <w:rsid w:val="00944332"/>
    <w:rsid w:val="00945779"/>
    <w:rsid w:val="009714D3"/>
    <w:rsid w:val="00974DE8"/>
    <w:rsid w:val="00997AAC"/>
    <w:rsid w:val="009B44A3"/>
    <w:rsid w:val="009C3569"/>
    <w:rsid w:val="009C5441"/>
    <w:rsid w:val="00A022BF"/>
    <w:rsid w:val="00A0413C"/>
    <w:rsid w:val="00A223E6"/>
    <w:rsid w:val="00A3205B"/>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54B3"/>
    <w:rsid w:val="00C912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271F9"/>
    <w:rsid w:val="00E5375B"/>
    <w:rsid w:val="00E65170"/>
    <w:rsid w:val="00E7115A"/>
    <w:rsid w:val="00E7471F"/>
    <w:rsid w:val="00E81B2E"/>
    <w:rsid w:val="00E83D63"/>
    <w:rsid w:val="00EB6314"/>
    <w:rsid w:val="00EC607F"/>
    <w:rsid w:val="00ED484D"/>
    <w:rsid w:val="00EF7BED"/>
    <w:rsid w:val="00F179F0"/>
    <w:rsid w:val="00F25BF5"/>
    <w:rsid w:val="00F4153C"/>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5</cp:revision>
  <dcterms:created xsi:type="dcterms:W3CDTF">2019-05-27T14:38:00Z</dcterms:created>
  <dcterms:modified xsi:type="dcterms:W3CDTF">2019-05-27T21:07:00Z</dcterms:modified>
</cp:coreProperties>
</file>